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D91086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XLIX/282/22</w:t>
      </w:r>
      <w:r>
        <w:rPr>
          <w:b/>
          <w:caps/>
        </w:rPr>
        <w:br/>
        <w:t>Rady Gminy Korytnica</w:t>
      </w:r>
    </w:p>
    <w:p w:rsidR="00A77B3E" w:rsidRDefault="00D91086">
      <w:pPr>
        <w:spacing w:before="280" w:after="280"/>
        <w:jc w:val="center"/>
        <w:rPr>
          <w:b/>
          <w:caps/>
        </w:rPr>
      </w:pPr>
      <w:r>
        <w:t>z dnia 27 czerwca 2022 r.</w:t>
      </w:r>
    </w:p>
    <w:p w:rsidR="00A77B3E" w:rsidRDefault="00D91086">
      <w:pPr>
        <w:keepNext/>
        <w:spacing w:after="480"/>
        <w:jc w:val="center"/>
      </w:pPr>
      <w:r>
        <w:rPr>
          <w:b/>
        </w:rPr>
        <w:t>w sprawie ustalenia stawek opłaty za pojemniki i worki  o określonej pojemności, przeznaczone do zbierania odpadów komunalnych na terenie nieruchomości</w:t>
      </w:r>
      <w:r>
        <w:rPr>
          <w:b/>
        </w:rPr>
        <w:br/>
        <w:t xml:space="preserve">niezamieszkałych oraz określenia </w:t>
      </w:r>
      <w:r>
        <w:rPr>
          <w:b/>
        </w:rPr>
        <w:t>stawki opłaty podwyższonej</w:t>
      </w:r>
    </w:p>
    <w:p w:rsidR="00A77B3E" w:rsidRDefault="00D91086">
      <w:pPr>
        <w:keepLines/>
        <w:spacing w:before="120" w:after="120"/>
        <w:ind w:firstLine="227"/>
      </w:pPr>
      <w:r>
        <w:t>Na podstawie art. 18 ust. 2 pkt 15, art. 40 ust. 1, art. 41 ust. 1 ustawy z dnia 8 marca 1990 r. o samorządzie gminnym (Dz.U. z 2022 r. poz. 559 ze zm.) oraz art. 6k ust. 1 pkt 2, ust.2a pkt 5 i ust. 3, w związku z art.6j ust.3 u</w:t>
      </w:r>
      <w:r>
        <w:t>stawy z dnia 13 września 1996 r. o utrzymaniu czystości i porządku w gminach (Dz. U. z 2021 r. poz. 888 ze zm.) Rada Gminy Korytnica uchwala, co następuje:</w:t>
      </w:r>
    </w:p>
    <w:p w:rsidR="00A77B3E" w:rsidRDefault="00D91086">
      <w:pPr>
        <w:keepLines/>
        <w:spacing w:before="120" w:after="120"/>
        <w:ind w:firstLine="340"/>
      </w:pPr>
      <w:r>
        <w:rPr>
          <w:b/>
        </w:rPr>
        <w:t>§ 1. </w:t>
      </w:r>
      <w:r>
        <w:t>Ustala  się  stawkę opłaty za pojemnik lub worek, przeznaczony do zbierania odpadów komunalnych</w:t>
      </w:r>
      <w:r>
        <w:t xml:space="preserve"> na terenie nieruchomości, na których nie zamieszkują mieszkańcy, jeżeli odpady komunalne są zbierane w sposób selektywny w następującej wysokości:</w:t>
      </w:r>
    </w:p>
    <w:p w:rsidR="00A77B3E" w:rsidRDefault="00D91086">
      <w:pPr>
        <w:spacing w:before="120" w:after="120"/>
        <w:ind w:left="340" w:hanging="227"/>
      </w:pPr>
      <w:r>
        <w:t>1) </w:t>
      </w:r>
      <w:r>
        <w:t>stawka opłaty za jeden worek lub pojemnik o pojemności 120 l - 26,80;</w:t>
      </w:r>
    </w:p>
    <w:p w:rsidR="00A77B3E" w:rsidRDefault="00D91086">
      <w:pPr>
        <w:spacing w:before="120" w:after="120"/>
        <w:ind w:left="340" w:hanging="227"/>
      </w:pPr>
      <w:r>
        <w:t>2) </w:t>
      </w:r>
      <w:r>
        <w:t>stawka opłaty za jeden  pojemnik</w:t>
      </w:r>
      <w:r>
        <w:t xml:space="preserve"> o pojemności 1100 l -   245,66 zł ;</w:t>
      </w:r>
    </w:p>
    <w:p w:rsidR="00A77B3E" w:rsidRDefault="00D91086">
      <w:pPr>
        <w:spacing w:before="120" w:after="120"/>
        <w:ind w:left="340" w:hanging="227"/>
      </w:pPr>
      <w:r>
        <w:t>3) </w:t>
      </w:r>
      <w:r>
        <w:t>stawka opłaty za jeden  pojemnik o pojemności 7000 l -  1563,33 zł;</w:t>
      </w:r>
    </w:p>
    <w:p w:rsidR="00A77B3E" w:rsidRDefault="00D91086">
      <w:pPr>
        <w:keepLines/>
        <w:spacing w:before="120" w:after="120"/>
        <w:ind w:firstLine="340"/>
      </w:pPr>
      <w:r>
        <w:rPr>
          <w:b/>
        </w:rPr>
        <w:t>§ 2. </w:t>
      </w:r>
      <w:r>
        <w:t>Określa się stawkę opłaty podwyższonej za gospodarowanie odpadami komunalnymi, jeżeli właściciel nieruchomości, na których nie zamieszkują mies</w:t>
      </w:r>
      <w:r>
        <w:t>zkańcy nie wypełnia obowiązku zbierania odpadów komunalnych w sposób selektywny w następującej wysokości:</w:t>
      </w:r>
    </w:p>
    <w:p w:rsidR="00A77B3E" w:rsidRDefault="00D91086">
      <w:pPr>
        <w:spacing w:before="120" w:after="120"/>
        <w:ind w:left="340" w:hanging="227"/>
      </w:pPr>
      <w:r>
        <w:t>1) </w:t>
      </w:r>
      <w:r>
        <w:t>stawka opłaty za jeden worek lub pojemnik o pojemności 120 l -  80,40 zł ;</w:t>
      </w:r>
    </w:p>
    <w:p w:rsidR="00A77B3E" w:rsidRDefault="00D91086">
      <w:pPr>
        <w:spacing w:before="120" w:after="120"/>
        <w:ind w:left="340" w:hanging="227"/>
      </w:pPr>
      <w:r>
        <w:t>2) </w:t>
      </w:r>
      <w:r>
        <w:t>stawka opłaty za jeden pojemnik o pojemności 1100 l  -  736,98 zł ;</w:t>
      </w:r>
    </w:p>
    <w:p w:rsidR="00A77B3E" w:rsidRDefault="00D91086">
      <w:pPr>
        <w:spacing w:before="120" w:after="120"/>
        <w:ind w:left="340" w:hanging="227"/>
      </w:pPr>
      <w:r>
        <w:t>3</w:t>
      </w:r>
      <w:r>
        <w:t>) </w:t>
      </w:r>
      <w:r>
        <w:t>stawka opłaty za jeden pojemnik o pojemności 7000 l -  4689,99 zł .</w:t>
      </w:r>
    </w:p>
    <w:p w:rsidR="00A77B3E" w:rsidRDefault="00D91086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 Korytnica.</w:t>
      </w:r>
    </w:p>
    <w:p w:rsidR="00A77B3E" w:rsidRDefault="00D91086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podlega publikacji w Dzienniku Urzędowym Województwa Mazowieckiego i wchodzi w życie po upływie 14 dni od dnia j</w:t>
      </w:r>
      <w:r>
        <w:t>ej ogłoszenia.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D91086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5F40F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0F3" w:rsidRDefault="005F40F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0F3" w:rsidRDefault="00D9108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Janusz Tarapata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5F40F3" w:rsidRDefault="005F40F3">
      <w:pPr>
        <w:rPr>
          <w:szCs w:val="20"/>
        </w:rPr>
      </w:pPr>
    </w:p>
    <w:p w:rsidR="005F40F3" w:rsidRDefault="00D91086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5F40F3" w:rsidRDefault="00D91086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Stosownie do przepisów</w:t>
      </w:r>
      <w:r>
        <w:rPr>
          <w:szCs w:val="20"/>
        </w:rPr>
        <w:t xml:space="preserve"> art. 6k ust. 1 pkt 2 ustawy z dnia 13 września 1996 r. o utrzymaniu czystości i porządku w gminach (t. j. Dz. U. z 2021 r. poz. 888 ze zm.), zwanej dalej „ustawą”, Rada Gminy w drodze uchwały ustali stawkę opłaty za pojemnik lub worek o określonej pojemno</w:t>
      </w:r>
      <w:r>
        <w:rPr>
          <w:szCs w:val="20"/>
        </w:rPr>
        <w:t>ści, przeznaczony do zbierania odpadów komunalnych na terenie nieruchomości. Jak wynika z art. 6k ust. 2a pkt 5 ustawy Rada gminy ustala stawki opłat w wysokości nie wyższej niż maksymalne stawki opłat, które za odpady komunalne zbierane i odbierane w spos</w:t>
      </w:r>
      <w:r>
        <w:rPr>
          <w:szCs w:val="20"/>
        </w:rPr>
        <w:t>ób selektywny wynoszą za miesiąc: w przypadku metody, o której mowa w art. 6j ust. 3 - 1,3% przeciętnego miesięcznego dochodu rozporządzalnego na 1 osobę ogółem za pojemniki lub worki o pojemności 120 l przeznaczone do zbierania odpadów komunalnych na tere</w:t>
      </w:r>
      <w:r>
        <w:rPr>
          <w:szCs w:val="20"/>
        </w:rPr>
        <w:t xml:space="preserve">nie nieruchomości; za pojemniki lub worki o mniejszej lub większej pojemności stawki opłat ustala się w wysokości proporcjonalnej do ich pojemności. Zgodnie natomiast z art. 6 k ust. 3 ustawy Rada gminy określi stawki opłaty podwyższonej za gospodarowanie </w:t>
      </w:r>
      <w:r>
        <w:rPr>
          <w:szCs w:val="20"/>
        </w:rPr>
        <w:t>odpadami komunalnymi, jeżeli właściciel nieruchomości nie wypełnia obowiązku zbierania odpadów komunalnych w sposób selektywny, wysokości nie niższej niż dwukrotna wysokość i nie wyższej niż czterokrotna wysokość stawki ustalonej przez radę gminy odpowiedn</w:t>
      </w:r>
      <w:r>
        <w:rPr>
          <w:szCs w:val="20"/>
        </w:rPr>
        <w:t>io na podstawie ust. 1 albo w art. 6j ust. 3b.</w:t>
      </w:r>
    </w:p>
    <w:p w:rsidR="005F40F3" w:rsidRDefault="00D91086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Przedstawione w niniejszej uchwale stawki są obliczone na podstawie przepisu art.6k ust.2a pkt 5 w/w ustawy. Zgodnie z art.6j ust.3 ustawy w przypadku nieruchomości, na której nie zamieszkują mieszkańcy, opłat</w:t>
      </w:r>
      <w:r>
        <w:rPr>
          <w:szCs w:val="20"/>
        </w:rPr>
        <w:t>a za gospodarowanie odpadami komunalnymi stanowi iloczyn zadeklarowanej liczby pojemników lub worków, przeznaczonych do zbierania odpadów komunalnych powstających na danej nieruchomości, oraz stawki opłaty za gospodarowanie odpadami komunalnymi, o której m</w:t>
      </w:r>
      <w:r>
        <w:rPr>
          <w:szCs w:val="20"/>
        </w:rPr>
        <w:t>owa w art. 6k ust. 1 pkt 2. Przez zadeklarowaną liczbę pojemników lub worków rozumie się iloczyn liczby pojemników lub worków przeznaczonych do zbierania odpadów komunalnych na terenie nieruchomości oraz liczby ich opróżnień lub odbiorów wynikającej z częs</w:t>
      </w:r>
      <w:r>
        <w:rPr>
          <w:szCs w:val="20"/>
        </w:rPr>
        <w:t>totliwości odbioru odpadów komunalnych określonych na podstawie art. 6r ust. 3 i 3b albo harmonogramu odbioru odpadów komunalnych dla danej nieruchomości.</w:t>
      </w:r>
    </w:p>
    <w:p w:rsidR="005F40F3" w:rsidRDefault="00D91086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Uwzględniając podstawę do wyliczenia w wysokości 2061,93 zł wynikającą z obwieszczenia Prezesa Główne</w:t>
      </w:r>
      <w:r>
        <w:rPr>
          <w:szCs w:val="20"/>
        </w:rPr>
        <w:t>go Urzędu Statystycznego z dnia 30 marca 2022 roku w sprawie przeciętnego miesięcznego dochodu rozporządzalnego na 1 osobę ogółem  w 2021 r. ( M.P. z 2022 r. poz.277)  maksymalne stawki przed zmianą i po niej wyglądają następująco: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2221"/>
        <w:gridCol w:w="2025"/>
        <w:gridCol w:w="2010"/>
        <w:gridCol w:w="2025"/>
      </w:tblGrid>
      <w:tr w:rsidR="005F40F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F3" w:rsidRDefault="00D91086">
            <w:pPr>
              <w:jc w:val="left"/>
              <w:rPr>
                <w:szCs w:val="20"/>
              </w:rPr>
            </w:pPr>
            <w:r>
              <w:rPr>
                <w:sz w:val="20"/>
                <w:szCs w:val="20"/>
              </w:rPr>
              <w:t>Rodzaj pojemnik</w:t>
            </w:r>
            <w:r>
              <w:rPr>
                <w:sz w:val="24"/>
                <w:szCs w:val="20"/>
              </w:rPr>
              <w:t>a</w:t>
            </w:r>
            <w:r>
              <w:rPr>
                <w:sz w:val="20"/>
                <w:szCs w:val="20"/>
              </w:rPr>
              <w:t>/worka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F3" w:rsidRDefault="00D91086">
            <w:pPr>
              <w:jc w:val="left"/>
              <w:rPr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tawka opłaty  przed zmianą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F3" w:rsidRDefault="00D91086">
            <w:pPr>
              <w:jc w:val="left"/>
              <w:rPr>
                <w:szCs w:val="20"/>
              </w:rPr>
            </w:pPr>
            <w:r>
              <w:rPr>
                <w:sz w:val="20"/>
                <w:szCs w:val="20"/>
              </w:rPr>
              <w:t>Stawka opłaty po zmianie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F3" w:rsidRDefault="00D91086">
            <w:pPr>
              <w:jc w:val="left"/>
              <w:rPr>
                <w:szCs w:val="20"/>
              </w:rPr>
            </w:pPr>
            <w:r>
              <w:rPr>
                <w:sz w:val="20"/>
                <w:szCs w:val="20"/>
              </w:rPr>
              <w:t>Stawka opłaty podwyższonej przed zmianą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F3" w:rsidRDefault="00D91086">
            <w:pPr>
              <w:jc w:val="left"/>
              <w:rPr>
                <w:szCs w:val="20"/>
              </w:rPr>
            </w:pPr>
            <w:r>
              <w:rPr>
                <w:sz w:val="20"/>
                <w:szCs w:val="20"/>
              </w:rPr>
              <w:t>Stawka opłaty podwyższonej po zmianie</w:t>
            </w:r>
          </w:p>
        </w:tc>
      </w:tr>
      <w:tr w:rsidR="005F40F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F3" w:rsidRDefault="00D91086">
            <w:pPr>
              <w:jc w:val="left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120 l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F3" w:rsidRDefault="00D91086">
            <w:pPr>
              <w:jc w:val="left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18,19zł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F3" w:rsidRDefault="00D91086">
            <w:pPr>
              <w:jc w:val="left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26,80zł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F3" w:rsidRDefault="00D91086">
            <w:pPr>
              <w:jc w:val="left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72,76zł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F3" w:rsidRDefault="00D91086">
            <w:pPr>
              <w:jc w:val="left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80,40zł</w:t>
            </w:r>
          </w:p>
        </w:tc>
      </w:tr>
      <w:tr w:rsidR="005F40F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F3" w:rsidRDefault="00D91086">
            <w:pPr>
              <w:jc w:val="left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1100 l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F3" w:rsidRDefault="00D91086">
            <w:pPr>
              <w:jc w:val="left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58,20zł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F3" w:rsidRDefault="00D91086">
            <w:pPr>
              <w:jc w:val="left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245,66zł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F3" w:rsidRDefault="00D91086">
            <w:pPr>
              <w:jc w:val="left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232,80zł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F3" w:rsidRDefault="00D91086">
            <w:pPr>
              <w:jc w:val="left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736,98zł</w:t>
            </w:r>
          </w:p>
        </w:tc>
      </w:tr>
      <w:tr w:rsidR="005F40F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F3" w:rsidRDefault="00D91086">
            <w:pPr>
              <w:jc w:val="left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7000 l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F3" w:rsidRDefault="00D91086">
            <w:pPr>
              <w:jc w:val="left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370,36zł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F3" w:rsidRDefault="00D91086">
            <w:pPr>
              <w:jc w:val="left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1563,33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F3" w:rsidRDefault="00D91086">
            <w:pPr>
              <w:jc w:val="left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1481,44zł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F3" w:rsidRDefault="00D91086">
            <w:pPr>
              <w:jc w:val="left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4689,99zł</w:t>
            </w:r>
          </w:p>
        </w:tc>
      </w:tr>
    </w:tbl>
    <w:p w:rsidR="005F40F3" w:rsidRDefault="00D91086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Proponowana  stawka opłaty podwyższonej dla odpadów zbieranych nieselektywnie i duża różnica pomiędzy stawkami opłat dla odpadów zbieranych selektywnie i nieselektywnie powinna zniechęcić właścicieli nieruchomości do nieprawidłowego zbierania odpadów kom</w:t>
      </w:r>
      <w:r>
        <w:rPr>
          <w:szCs w:val="20"/>
        </w:rPr>
        <w:t>unalnych i zachęcić do podjęcia wysiłku selektywnej zbiórki.</w:t>
      </w:r>
    </w:p>
    <w:p w:rsidR="005F40F3" w:rsidRDefault="00D91086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Selektywne gromadzenie odpadów komunalnych pozwoli na pozyskanie większej ilości surowca nadającego się do recyklingu i jest korzystne dla środowiska.</w:t>
      </w:r>
    </w:p>
    <w:p w:rsidR="005F40F3" w:rsidRDefault="00D91086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Przedmiotowa opłata stanowi dochód gminy. Z </w:t>
      </w:r>
      <w:r>
        <w:rPr>
          <w:szCs w:val="20"/>
        </w:rPr>
        <w:t>pobranych opłat gmina pokrywa koszty funkcjonowania systemu gospodarowania odpadami komunalnymi, które obejmują odbieranie, transport, zbieranie, odzysk i unieszkodliwianie odpadów komunalnych oraz obsługę administracyjną tego systemu.</w:t>
      </w:r>
    </w:p>
    <w:p w:rsidR="005F40F3" w:rsidRDefault="00D9108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szCs w:val="20"/>
        </w:rPr>
        <w:t xml:space="preserve">Ustawa z dnia </w:t>
      </w:r>
      <w:r>
        <w:rPr>
          <w:szCs w:val="20"/>
        </w:rPr>
        <w:t>13 września 1996 r. o utrzymaniu czystości i porządku w gminach została znowelizowana  ustawą z dnia 11 sierpnia 2021 r. o zmianie ustawy o utrzymaniu czystości i porządku w gminach, ustawy - Prawo ochrony środowiska oraz ustawy o odpadach ( Dz.U. z 2021 r</w:t>
      </w:r>
      <w:r>
        <w:rPr>
          <w:szCs w:val="20"/>
        </w:rPr>
        <w:t>. poz. 1648). Konieczność nowego określenia wysokości stawek za pojemnik lub worek wynika z przepisu art. 5 ust. 2 nowelizacji z 11 sierpnia 2021 roku, zgodnie z którym  uchwała rady gminy podjęta na podstawie  </w:t>
      </w:r>
      <w:hyperlink r:id="rId7" w:history="1">
        <w:r>
          <w:rPr>
            <w:color w:val="0066CC"/>
            <w:szCs w:val="20"/>
            <w:u w:val="single" w:color="000000"/>
          </w:rPr>
          <w:t>art. 6k u</w:t>
        </w:r>
        <w:r>
          <w:rPr>
            <w:color w:val="0066CC"/>
            <w:szCs w:val="20"/>
            <w:u w:val="single" w:color="000000"/>
          </w:rPr>
          <w:t>st. 1 pkt 2</w:t>
        </w:r>
      </w:hyperlink>
      <w:r>
        <w:rPr>
          <w:color w:val="000000"/>
          <w:szCs w:val="20"/>
        </w:rPr>
        <w:t> </w:t>
      </w:r>
      <w:r>
        <w:rPr>
          <w:color w:val="000000"/>
          <w:szCs w:val="20"/>
          <w:u w:color="000000"/>
        </w:rPr>
        <w:t xml:space="preserve">  ustawy zmienianej w art. 1 przed dniem wejścia w życie niniejszej ustawy zachowuje moc do dnia wejścia w życie nowej uchwały podjętej na podstawie </w:t>
      </w:r>
      <w:hyperlink r:id="rId8" w:history="1">
        <w:r>
          <w:rPr>
            <w:color w:val="0066CC"/>
            <w:szCs w:val="20"/>
            <w:u w:val="single" w:color="000000"/>
          </w:rPr>
          <w:t>art. 6k ust. 1 pkt 2</w:t>
        </w:r>
      </w:hyperlink>
      <w:r>
        <w:rPr>
          <w:color w:val="000000"/>
          <w:szCs w:val="20"/>
        </w:rPr>
        <w:t> </w:t>
      </w:r>
      <w:r>
        <w:rPr>
          <w:color w:val="000000"/>
          <w:szCs w:val="20"/>
          <w:u w:color="000000"/>
        </w:rPr>
        <w:t>  ustawy zmienianej w art. 1, nie dłuż</w:t>
      </w:r>
      <w:r>
        <w:rPr>
          <w:color w:val="000000"/>
          <w:szCs w:val="20"/>
          <w:u w:color="000000"/>
        </w:rPr>
        <w:t xml:space="preserve">ej niż do dnia 30 czerwca 2022 r. </w:t>
      </w:r>
    </w:p>
    <w:p w:rsidR="005F40F3" w:rsidRDefault="00D9108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z powyższym podjęcie przedmiotowej  uchwały jest uzasadnione.</w:t>
      </w:r>
    </w:p>
    <w:sectPr w:rsidR="005F40F3">
      <w:footerReference w:type="default" r:id="rId9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086" w:rsidRDefault="00D91086">
      <w:r>
        <w:separator/>
      </w:r>
    </w:p>
  </w:endnote>
  <w:endnote w:type="continuationSeparator" w:id="0">
    <w:p w:rsidR="00D91086" w:rsidRDefault="00D9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F40F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F40F3" w:rsidRDefault="00D91086">
          <w:pPr>
            <w:jc w:val="left"/>
            <w:rPr>
              <w:sz w:val="18"/>
            </w:rPr>
          </w:pPr>
          <w:r>
            <w:rPr>
              <w:sz w:val="18"/>
            </w:rPr>
            <w:t>Id: B343E199-70A6-4119-B81F-9328BCC5E165.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F40F3" w:rsidRDefault="00D9108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16E06">
            <w:rPr>
              <w:sz w:val="18"/>
            </w:rPr>
            <w:fldChar w:fldCharType="separate"/>
          </w:r>
          <w:r w:rsidR="00E16E0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F40F3" w:rsidRDefault="005F40F3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F40F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F40F3" w:rsidRDefault="00D91086">
          <w:pPr>
            <w:jc w:val="left"/>
            <w:rPr>
              <w:sz w:val="18"/>
            </w:rPr>
          </w:pPr>
          <w:r>
            <w:rPr>
              <w:sz w:val="18"/>
            </w:rPr>
            <w:t>Id: B343E199-70A6-4119-B81F-9328BCC5E165.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F40F3" w:rsidRDefault="00D9108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16E06">
            <w:rPr>
              <w:sz w:val="18"/>
            </w:rPr>
            <w:fldChar w:fldCharType="separate"/>
          </w:r>
          <w:r w:rsidR="00E16E06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5F40F3" w:rsidRDefault="005F40F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086" w:rsidRDefault="00D91086">
      <w:r>
        <w:separator/>
      </w:r>
    </w:p>
  </w:footnote>
  <w:footnote w:type="continuationSeparator" w:id="0">
    <w:p w:rsidR="00D91086" w:rsidRDefault="00D91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5F40F3"/>
    <w:rsid w:val="00A77B3E"/>
    <w:rsid w:val="00CA2A55"/>
    <w:rsid w:val="00D91086"/>
    <w:rsid w:val="00E1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5C3EB8-0FF7-4D05-A5EC-F6DED5B6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906</Words>
  <Characters>5439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XLIX/282/22 z dnia 27 czerwca 2022 r.</vt:lpstr>
      <vt:lpstr/>
    </vt:vector>
  </TitlesOfParts>
  <Company>Rada Gminy Korytnica</Company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XLIX/282/22 z dnia 27 czerwca 2022 r.</dc:title>
  <dc:subject>w sprawie ustalenia stawek opłaty za pojemniki i^worki  o^określonej pojemności, przeznaczone do zbierania odpadów komunalnych na terenie nieruchomości
niezamieszkałych oraz określenia stawki opłaty podwyższonej</dc:subject>
  <dc:creator>ekarczewska</dc:creator>
  <cp:lastModifiedBy>Ewelina Grzegorzewska</cp:lastModifiedBy>
  <cp:revision>2</cp:revision>
  <dcterms:created xsi:type="dcterms:W3CDTF">2022-06-30T10:52:00Z</dcterms:created>
  <dcterms:modified xsi:type="dcterms:W3CDTF">2022-06-30T10:52:00Z</dcterms:modified>
  <cp:category>Akt prawny</cp:category>
</cp:coreProperties>
</file>